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560" w:lineRule="exact"/>
        <w:jc w:val="center"/>
        <w:rPr>
          <w:rFonts w:ascii="仿宋_GB2312" w:hAnsi="宋体" w:eastAsia="仿宋_GB2312"/>
          <w:b/>
          <w:color w:val="000000"/>
          <w:sz w:val="40"/>
          <w:szCs w:val="32"/>
        </w:rPr>
      </w:pPr>
      <w:r>
        <w:rPr>
          <w:rFonts w:hint="eastAsia" w:ascii="仿宋_GB2312" w:hAnsi="宋体" w:eastAsia="仿宋_GB2312"/>
          <w:b/>
          <w:color w:val="000000"/>
          <w:sz w:val="40"/>
          <w:szCs w:val="32"/>
        </w:rPr>
        <w:t>建信金融租赁有限公司关联交易公告</w:t>
      </w:r>
    </w:p>
    <w:p>
      <w:pPr>
        <w:pStyle w:val="11"/>
        <w:adjustRightInd w:val="0"/>
        <w:snapToGrid w:val="0"/>
        <w:spacing w:line="560" w:lineRule="exact"/>
        <w:jc w:val="center"/>
        <w:rPr>
          <w:rFonts w:ascii="仿宋_GB2312" w:hAnsi="宋体" w:eastAsia="仿宋_GB2312"/>
          <w:b/>
          <w:color w:val="000000"/>
          <w:sz w:val="40"/>
          <w:szCs w:val="32"/>
        </w:rPr>
      </w:pP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按照《银行保险机构关联交易管理办法》(银保监会令〔2022〕1号)相关要求，建信金融租赁有限公司对202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季度关联交易信息进行披露：</w:t>
      </w:r>
    </w:p>
    <w:p>
      <w:pPr>
        <w:pStyle w:val="11"/>
        <w:numPr>
          <w:ilvl w:val="0"/>
          <w:numId w:val="0"/>
        </w:numPr>
        <w:tabs>
          <w:tab w:val="left" w:pos="6308"/>
        </w:tabs>
        <w:adjustRightInd w:val="0"/>
        <w:snapToGrid w:val="0"/>
        <w:spacing w:line="560" w:lineRule="exact"/>
        <w:ind w:left="643" w:leftChars="0"/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关联交易类型及交易金额</w:t>
      </w:r>
      <w:r>
        <w:rPr>
          <w:rFonts w:hint="eastAsia" w:ascii="仿宋_GB2312" w:hAnsi="宋体" w:eastAsia="仿宋_GB2312"/>
          <w:b/>
          <w:color w:val="000000"/>
          <w:sz w:val="32"/>
          <w:szCs w:val="32"/>
          <w:lang w:eastAsia="zh-CN"/>
        </w:rPr>
        <w:tab/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（一）以资产为基础的关联交易：人民币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3,800.99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bookmarkStart w:id="0" w:name="_Toc269999831"/>
      <w:bookmarkStart w:id="1" w:name="_Toc269996849"/>
      <w:r>
        <w:rPr>
          <w:rFonts w:hint="eastAsia" w:ascii="仿宋_GB2312" w:hAnsi="宋体" w:eastAsia="仿宋_GB2312"/>
          <w:color w:val="auto"/>
          <w:sz w:val="32"/>
          <w:szCs w:val="32"/>
        </w:rPr>
        <w:t>（二）以资金为基础的关联交易</w:t>
      </w:r>
      <w:bookmarkEnd w:id="0"/>
      <w:bookmarkEnd w:id="1"/>
      <w:r>
        <w:rPr>
          <w:rFonts w:hint="eastAsia" w:ascii="仿宋_GB2312" w:hAnsi="宋体" w:eastAsia="仿宋_GB2312"/>
          <w:color w:val="auto"/>
          <w:sz w:val="32"/>
          <w:szCs w:val="32"/>
        </w:rPr>
        <w:t>：人民币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126,639.69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bookmarkStart w:id="2" w:name="_Toc269996850"/>
      <w:bookmarkStart w:id="3" w:name="_Toc269999832"/>
      <w:r>
        <w:rPr>
          <w:rFonts w:hint="eastAsia" w:ascii="仿宋_GB2312" w:hAnsi="宋体" w:eastAsia="仿宋_GB2312"/>
          <w:color w:val="auto"/>
          <w:sz w:val="32"/>
          <w:szCs w:val="32"/>
        </w:rPr>
        <w:t>（三）以中间服务为基础的关联交易</w:t>
      </w:r>
      <w:bookmarkEnd w:id="2"/>
      <w:bookmarkEnd w:id="3"/>
      <w:r>
        <w:rPr>
          <w:rFonts w:hint="eastAsia" w:ascii="仿宋_GB2312" w:hAnsi="宋体" w:eastAsia="仿宋_GB2312"/>
          <w:color w:val="auto"/>
          <w:sz w:val="32"/>
          <w:szCs w:val="32"/>
        </w:rPr>
        <w:t>：人民币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5,830.22万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元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其他类型关联交易：人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民币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182.02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</w:t>
      </w:r>
    </w:p>
    <w:p>
      <w:pPr>
        <w:pStyle w:val="11"/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二、监管比例执行情况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《办法》正式施行以来，公司对单个关联方、全部关联方、单</w:t>
      </w:r>
      <w:r>
        <w:rPr>
          <w:rFonts w:ascii="仿宋_GB2312" w:hAnsi="宋体" w:eastAsia="仿宋_GB2312"/>
          <w:color w:val="000000"/>
          <w:sz w:val="32"/>
          <w:szCs w:val="32"/>
        </w:rPr>
        <w:t>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股东及其全部关联方的融资余额均符合监管要求。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line="560" w:lineRule="exact"/>
        <w:jc w:val="both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1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建信金融租赁有限公司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ascii="仿宋_GB2312" w:hAnsi="宋体" w:eastAsia="仿宋_GB2312"/>
          <w:color w:val="000000"/>
          <w:sz w:val="32"/>
          <w:szCs w:val="32"/>
        </w:rPr>
        <w:t>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24</w:t>
      </w:r>
      <w:bookmarkStart w:id="4" w:name="_GoBack"/>
      <w:bookmarkEnd w:id="4"/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B3"/>
    <w:rsid w:val="000077D2"/>
    <w:rsid w:val="0004613B"/>
    <w:rsid w:val="00046F6D"/>
    <w:rsid w:val="000A0418"/>
    <w:rsid w:val="0012716B"/>
    <w:rsid w:val="00184442"/>
    <w:rsid w:val="001911D9"/>
    <w:rsid w:val="001C5F9F"/>
    <w:rsid w:val="001D3833"/>
    <w:rsid w:val="002707FB"/>
    <w:rsid w:val="002E17B4"/>
    <w:rsid w:val="00341A8D"/>
    <w:rsid w:val="003C0C5F"/>
    <w:rsid w:val="003D0BAD"/>
    <w:rsid w:val="004023B3"/>
    <w:rsid w:val="00500C0D"/>
    <w:rsid w:val="00517246"/>
    <w:rsid w:val="00552858"/>
    <w:rsid w:val="00581ACF"/>
    <w:rsid w:val="005F2C12"/>
    <w:rsid w:val="005F3F23"/>
    <w:rsid w:val="00667B92"/>
    <w:rsid w:val="00671730"/>
    <w:rsid w:val="006C201B"/>
    <w:rsid w:val="0081234E"/>
    <w:rsid w:val="008B386B"/>
    <w:rsid w:val="009413BB"/>
    <w:rsid w:val="00961B32"/>
    <w:rsid w:val="00975AB2"/>
    <w:rsid w:val="009B6E98"/>
    <w:rsid w:val="00A129CD"/>
    <w:rsid w:val="00A94DAE"/>
    <w:rsid w:val="00AB24EE"/>
    <w:rsid w:val="00C36395"/>
    <w:rsid w:val="00C45426"/>
    <w:rsid w:val="00C45854"/>
    <w:rsid w:val="00C738D9"/>
    <w:rsid w:val="00C750EC"/>
    <w:rsid w:val="00D3138E"/>
    <w:rsid w:val="00D37744"/>
    <w:rsid w:val="00D97A3E"/>
    <w:rsid w:val="00E64F4F"/>
    <w:rsid w:val="00F15A40"/>
    <w:rsid w:val="00FB4AC3"/>
    <w:rsid w:val="05C2386A"/>
    <w:rsid w:val="08A47323"/>
    <w:rsid w:val="0B157F5B"/>
    <w:rsid w:val="1152498F"/>
    <w:rsid w:val="175809C1"/>
    <w:rsid w:val="196D0F06"/>
    <w:rsid w:val="1D5043E4"/>
    <w:rsid w:val="22CC66D8"/>
    <w:rsid w:val="23F3086E"/>
    <w:rsid w:val="28DC00F7"/>
    <w:rsid w:val="2C080BDD"/>
    <w:rsid w:val="34DF3476"/>
    <w:rsid w:val="37967B7B"/>
    <w:rsid w:val="37E96ECC"/>
    <w:rsid w:val="3AF6242E"/>
    <w:rsid w:val="3C71035B"/>
    <w:rsid w:val="40D1425C"/>
    <w:rsid w:val="46281FCA"/>
    <w:rsid w:val="4A2A0340"/>
    <w:rsid w:val="504548B7"/>
    <w:rsid w:val="54D06509"/>
    <w:rsid w:val="55BA1ED5"/>
    <w:rsid w:val="5A315FC7"/>
    <w:rsid w:val="5D374ED4"/>
    <w:rsid w:val="5D853FDF"/>
    <w:rsid w:val="62210660"/>
    <w:rsid w:val="643F18F7"/>
    <w:rsid w:val="6C14640F"/>
    <w:rsid w:val="7022044B"/>
    <w:rsid w:val="70EB0700"/>
    <w:rsid w:val="72123B82"/>
    <w:rsid w:val="7446479D"/>
    <w:rsid w:val="7E0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_012f7efe-a592-4c44-a627-acbe3dbe6b9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271</TotalTime>
  <ScaleCrop>false</ScaleCrop>
  <LinksUpToDate>false</LinksUpToDate>
  <CharactersWithSpaces>336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2023-04-23T02:47:00Z</dcterms:created>
  <dc:creator>admin</dc:creator>
  <cp:lastModifiedBy>WX</cp:lastModifiedBy>
  <cp:lastPrinted>2026-04-16T09:48:00Z</cp:lastPrinted>
  <dcterms:modified xsi:type="dcterms:W3CDTF">2026-04-24T09:29:58Z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25CF63A821EB415CBDCD8E70018C9BB5_12</vt:lpwstr>
  </property>
</Properties>
</file>